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D59" w:rsidRPr="0016748D" w:rsidRDefault="002C2D59" w:rsidP="002C2D59">
      <w:pPr>
        <w:pStyle w:val="SATSectionHeader"/>
        <w:spacing w:after="0"/>
        <w:jc w:val="center"/>
        <w:outlineLvl w:val="0"/>
        <w:rPr>
          <w:rFonts w:ascii="Arial Narrow" w:hAnsi="Arial Narrow"/>
          <w:b/>
          <w:sz w:val="48"/>
          <w:szCs w:val="48"/>
        </w:rPr>
      </w:pPr>
      <w:r>
        <w:rPr>
          <w:rFonts w:ascii="Arial Narrow" w:hAnsi="Arial Narrow"/>
          <w:b/>
          <w:noProof/>
          <w:sz w:val="48"/>
          <w:szCs w:val="48"/>
        </w:rPr>
        <w:drawing>
          <wp:anchor distT="0" distB="0" distL="114300" distR="114300" simplePos="0" relativeHeight="251660288" behindDoc="1" locked="0" layoutInCell="1" allowOverlap="1">
            <wp:simplePos x="0" y="0"/>
            <wp:positionH relativeFrom="page">
              <wp:posOffset>5401310</wp:posOffset>
            </wp:positionH>
            <wp:positionV relativeFrom="page">
              <wp:posOffset>335915</wp:posOffset>
            </wp:positionV>
            <wp:extent cx="2057400" cy="411480"/>
            <wp:effectExtent l="2540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057400" cy="411480"/>
                    </a:xfrm>
                    <a:prstGeom prst="rect">
                      <a:avLst/>
                    </a:prstGeom>
                    <a:noFill/>
                    <a:ln w="635">
                      <a:miter lim="800000"/>
                      <a:headEnd/>
                      <a:tailEnd/>
                    </a:ln>
                  </pic:spPr>
                </pic:pic>
              </a:graphicData>
            </a:graphic>
          </wp:anchor>
        </w:drawing>
      </w:r>
      <w:r w:rsidRPr="0016748D">
        <w:rPr>
          <w:rFonts w:ascii="Arial Narrow" w:hAnsi="Arial Narrow"/>
          <w:b/>
          <w:sz w:val="48"/>
          <w:szCs w:val="48"/>
        </w:rPr>
        <w:t xml:space="preserve">Unit </w:t>
      </w:r>
      <w:r>
        <w:rPr>
          <w:rFonts w:ascii="Arial Narrow" w:hAnsi="Arial Narrow"/>
          <w:b/>
          <w:sz w:val="48"/>
          <w:szCs w:val="48"/>
        </w:rPr>
        <w:t>2: Civil Rights and Civil Liberties</w:t>
      </w:r>
    </w:p>
    <w:p w:rsidR="002C2D59" w:rsidRPr="00A5538B" w:rsidRDefault="002C2D59" w:rsidP="002C2D59">
      <w:pPr>
        <w:pStyle w:val="SATSectionHeader"/>
        <w:spacing w:after="0"/>
        <w:outlineLvl w:val="0"/>
        <w:rPr>
          <w:rFonts w:ascii="DINCond-Bold" w:hAnsi="DINCond-Bold"/>
          <w:sz w:val="48"/>
          <w:szCs w:val="48"/>
        </w:rPr>
      </w:pPr>
      <w:r>
        <w:rPr>
          <w:rFonts w:ascii="DINCond-Bold" w:hAnsi="DINCond-Bold"/>
          <w:noProof/>
          <w:sz w:val="48"/>
          <w:szCs w:val="48"/>
        </w:rPr>
        <w:drawing>
          <wp:anchor distT="0" distB="0" distL="114300" distR="114300" simplePos="0" relativeHeight="251661312" behindDoc="1" locked="0" layoutInCell="1" allowOverlap="1">
            <wp:simplePos x="0" y="0"/>
            <wp:positionH relativeFrom="page">
              <wp:posOffset>5401310</wp:posOffset>
            </wp:positionH>
            <wp:positionV relativeFrom="page">
              <wp:posOffset>335915</wp:posOffset>
            </wp:positionV>
            <wp:extent cx="2057400" cy="411480"/>
            <wp:effectExtent l="2540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2057400" cy="411480"/>
                    </a:xfrm>
                    <a:prstGeom prst="rect">
                      <a:avLst/>
                    </a:prstGeom>
                    <a:noFill/>
                    <a:ln w="635">
                      <a:miter lim="800000"/>
                      <a:headEnd/>
                      <a:tailEnd/>
                    </a:ln>
                  </pic:spPr>
                </pic:pic>
              </a:graphicData>
            </a:graphic>
          </wp:anchor>
        </w:drawing>
      </w:r>
    </w:p>
    <w:tbl>
      <w:tblPr>
        <w:tblW w:w="9360" w:type="dxa"/>
        <w:jc w:val="cente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00"/>
      </w:tblPr>
      <w:tblGrid>
        <w:gridCol w:w="4230"/>
        <w:gridCol w:w="5130"/>
      </w:tblGrid>
      <w:tr w:rsidR="002C2D59" w:rsidRPr="00E31EAD">
        <w:trPr>
          <w:cantSplit/>
          <w:trHeight w:val="309"/>
          <w:jc w:val="center"/>
        </w:trPr>
        <w:tc>
          <w:tcPr>
            <w:tcW w:w="9360" w:type="dxa"/>
            <w:gridSpan w:val="2"/>
            <w:shd w:val="clear" w:color="auto" w:fill="C0C0C0"/>
            <w:vAlign w:val="center"/>
          </w:tcPr>
          <w:p w:rsidR="002C2D59" w:rsidRDefault="002C2D59" w:rsidP="002C2D59">
            <w:pPr>
              <w:jc w:val="center"/>
              <w:rPr>
                <w:rFonts w:ascii="Arial Narrow" w:hAnsi="Arial Narrow"/>
                <w:b/>
              </w:rPr>
            </w:pPr>
            <w:r>
              <w:rPr>
                <w:rFonts w:ascii="Arial Narrow" w:hAnsi="Arial Narrow"/>
                <w:b/>
              </w:rPr>
              <w:t>UNIT VISION</w:t>
            </w:r>
          </w:p>
          <w:p w:rsidR="002C2D59" w:rsidRPr="008C0A9D" w:rsidRDefault="002C2D59" w:rsidP="002C2D59">
            <w:pPr>
              <w:rPr>
                <w:rFonts w:ascii="Arial Narrow" w:hAnsi="Arial Narrow"/>
                <w:b/>
                <w:i/>
              </w:rPr>
            </w:pPr>
          </w:p>
          <w:p w:rsidR="002C2D59" w:rsidRPr="008C0A9D" w:rsidRDefault="002C2D59" w:rsidP="002C2D59">
            <w:pPr>
              <w:rPr>
                <w:rFonts w:ascii="Arial Narrow" w:hAnsi="Arial Narrow"/>
              </w:rPr>
            </w:pPr>
            <w:r w:rsidRPr="008C0A9D">
              <w:rPr>
                <w:rFonts w:ascii="Arial Narrow" w:hAnsi="Arial Narrow"/>
              </w:rPr>
              <w:t>This unit will start with a review of the principles of American democracy with a focus on the Preamble and Bill of Rights.  With teacher guidance, students will produce a list of qualities that make life in America distinctly American, using the Constitution and Bill of Rights as a guide.</w:t>
            </w:r>
          </w:p>
          <w:p w:rsidR="002C2D59" w:rsidRPr="008C0A9D" w:rsidRDefault="002C2D59" w:rsidP="002C2D59">
            <w:pPr>
              <w:rPr>
                <w:rFonts w:ascii="Arial Narrow" w:hAnsi="Arial Narrow"/>
              </w:rPr>
            </w:pPr>
          </w:p>
          <w:p w:rsidR="002C2D59" w:rsidRPr="008C0A9D" w:rsidRDefault="002C2D59" w:rsidP="002C2D59">
            <w:pPr>
              <w:rPr>
                <w:rFonts w:ascii="Arial Narrow" w:hAnsi="Arial Narrow"/>
              </w:rPr>
            </w:pPr>
            <w:r w:rsidRPr="008C0A9D">
              <w:rPr>
                <w:rFonts w:ascii="Arial Narrow" w:hAnsi="Arial Narrow"/>
              </w:rPr>
              <w:t xml:space="preserve">Throughout the unit, the teacher will pose instances where the government has either upheld or challenged existing Constitutional doctrines.  This will include exploring eight Supreme Court cases through pictures, words, and simulation.  In addition, equality legislation and the degree to which it has helped specific groups of people will be looked at and evaluated by students.  Public assistance programs and the degree to which they level the playing field will be debated.  By the end of the unit, students will be able to evaluate the extent to which the government guarantees “liberty and justice for all”. </w:t>
            </w:r>
          </w:p>
          <w:p w:rsidR="002C2D59" w:rsidRPr="008C0A9D" w:rsidRDefault="002C2D59" w:rsidP="002C2D59">
            <w:pPr>
              <w:rPr>
                <w:rFonts w:ascii="Arial Narrow" w:hAnsi="Arial Narrow"/>
              </w:rPr>
            </w:pPr>
          </w:p>
          <w:p w:rsidR="002C2D59" w:rsidRPr="008C0A9D" w:rsidRDefault="002C2D59" w:rsidP="002C2D59">
            <w:pPr>
              <w:rPr>
                <w:rFonts w:ascii="Arial Narrow" w:hAnsi="Arial Narrow"/>
              </w:rPr>
            </w:pPr>
            <w:r w:rsidRPr="008C0A9D">
              <w:rPr>
                <w:rFonts w:ascii="Arial Narrow" w:hAnsi="Arial Narrow"/>
              </w:rPr>
              <w:t>Students will also be completing a book project, which outlines the Supreme Court cases</w:t>
            </w:r>
            <w:r>
              <w:rPr>
                <w:rFonts w:ascii="Arial Narrow" w:hAnsi="Arial Narrow"/>
              </w:rPr>
              <w:t xml:space="preserve"> and/or different pieces of equality legislation</w:t>
            </w:r>
            <w:r w:rsidRPr="008C0A9D">
              <w:rPr>
                <w:rFonts w:ascii="Arial Narrow" w:hAnsi="Arial Narrow"/>
              </w:rPr>
              <w:t>.  This is intended to be a study tool that transcends several units.</w:t>
            </w:r>
          </w:p>
          <w:p w:rsidR="002C2D59" w:rsidRPr="004816F0" w:rsidRDefault="002C2D59" w:rsidP="002C2D59">
            <w:pPr>
              <w:rPr>
                <w:rFonts w:ascii="Arial Narrow" w:hAnsi="Arial Narrow"/>
                <w:sz w:val="22"/>
                <w:szCs w:val="22"/>
              </w:rPr>
            </w:pPr>
          </w:p>
        </w:tc>
      </w:tr>
      <w:tr w:rsidR="002C2D59" w:rsidRPr="00E31EAD">
        <w:trPr>
          <w:cantSplit/>
          <w:trHeight w:val="20"/>
          <w:jc w:val="center"/>
        </w:trPr>
        <w:tc>
          <w:tcPr>
            <w:tcW w:w="4230" w:type="dxa"/>
            <w:shd w:val="clear" w:color="auto" w:fill="F3F3F3"/>
            <w:vAlign w:val="center"/>
          </w:tcPr>
          <w:p w:rsidR="002C2D59" w:rsidRDefault="002C2D59" w:rsidP="002C2D59">
            <w:pPr>
              <w:rPr>
                <w:rFonts w:ascii="Arial Narrow" w:hAnsi="Arial Narrow"/>
                <w:b/>
              </w:rPr>
            </w:pPr>
            <w:r>
              <w:rPr>
                <w:rFonts w:ascii="Arial Narrow" w:hAnsi="Arial Narrow"/>
                <w:b/>
              </w:rPr>
              <w:t>Grade/Subject:</w:t>
            </w:r>
          </w:p>
        </w:tc>
        <w:tc>
          <w:tcPr>
            <w:tcW w:w="5130" w:type="dxa"/>
            <w:shd w:val="clear" w:color="auto" w:fill="auto"/>
            <w:vAlign w:val="center"/>
          </w:tcPr>
          <w:p w:rsidR="002C2D59" w:rsidRPr="002748F7" w:rsidRDefault="002C2D59" w:rsidP="002C2D59">
            <w:pPr>
              <w:rPr>
                <w:rFonts w:ascii="Arial Narrow" w:hAnsi="Arial Narrow"/>
                <w:sz w:val="22"/>
                <w:szCs w:val="22"/>
              </w:rPr>
            </w:pPr>
            <w:r>
              <w:rPr>
                <w:rFonts w:ascii="Arial Narrow" w:hAnsi="Arial Narrow"/>
                <w:sz w:val="22"/>
                <w:szCs w:val="22"/>
              </w:rPr>
              <w:t>10</w:t>
            </w:r>
            <w:r w:rsidRPr="004816F0">
              <w:rPr>
                <w:rFonts w:ascii="Arial Narrow" w:hAnsi="Arial Narrow"/>
                <w:sz w:val="22"/>
                <w:szCs w:val="22"/>
                <w:vertAlign w:val="superscript"/>
              </w:rPr>
              <w:t>th</w:t>
            </w:r>
            <w:r>
              <w:rPr>
                <w:rFonts w:ascii="Arial Narrow" w:hAnsi="Arial Narrow"/>
                <w:sz w:val="22"/>
                <w:szCs w:val="22"/>
              </w:rPr>
              <w:t>/Government</w:t>
            </w:r>
          </w:p>
        </w:tc>
      </w:tr>
      <w:tr w:rsidR="002C2D59" w:rsidRPr="00E31EAD">
        <w:trPr>
          <w:cantSplit/>
          <w:trHeight w:val="20"/>
          <w:jc w:val="center"/>
        </w:trPr>
        <w:tc>
          <w:tcPr>
            <w:tcW w:w="4230" w:type="dxa"/>
            <w:shd w:val="clear" w:color="auto" w:fill="F3F3F3"/>
            <w:vAlign w:val="center"/>
          </w:tcPr>
          <w:p w:rsidR="002C2D59" w:rsidRDefault="002C2D59" w:rsidP="002C2D59">
            <w:pPr>
              <w:rPr>
                <w:rFonts w:ascii="Arial Narrow" w:hAnsi="Arial Narrow"/>
                <w:b/>
              </w:rPr>
            </w:pPr>
            <w:r>
              <w:rPr>
                <w:rFonts w:ascii="Arial Narrow" w:hAnsi="Arial Narrow"/>
                <w:b/>
              </w:rPr>
              <w:t>Unit Name:</w:t>
            </w:r>
          </w:p>
        </w:tc>
        <w:tc>
          <w:tcPr>
            <w:tcW w:w="5130" w:type="dxa"/>
            <w:shd w:val="clear" w:color="auto" w:fill="auto"/>
            <w:vAlign w:val="center"/>
          </w:tcPr>
          <w:p w:rsidR="002C2D59" w:rsidRPr="002748F7" w:rsidRDefault="002C2D59" w:rsidP="002C2D59">
            <w:pPr>
              <w:rPr>
                <w:rFonts w:ascii="Arial Narrow" w:hAnsi="Arial Narrow"/>
                <w:sz w:val="22"/>
                <w:szCs w:val="22"/>
              </w:rPr>
            </w:pPr>
            <w:r>
              <w:rPr>
                <w:rFonts w:ascii="Arial Narrow" w:hAnsi="Arial Narrow"/>
                <w:sz w:val="22"/>
                <w:szCs w:val="22"/>
              </w:rPr>
              <w:t>The Foundations of American Government</w:t>
            </w:r>
          </w:p>
        </w:tc>
      </w:tr>
      <w:tr w:rsidR="002C2D59" w:rsidRPr="00E31EAD">
        <w:trPr>
          <w:cantSplit/>
          <w:trHeight w:val="20"/>
          <w:jc w:val="center"/>
        </w:trPr>
        <w:tc>
          <w:tcPr>
            <w:tcW w:w="4230" w:type="dxa"/>
            <w:tcBorders>
              <w:bottom w:val="single" w:sz="4" w:space="0" w:color="auto"/>
            </w:tcBorders>
            <w:shd w:val="clear" w:color="auto" w:fill="F3F3F3"/>
            <w:vAlign w:val="center"/>
          </w:tcPr>
          <w:p w:rsidR="002C2D59" w:rsidRDefault="002C2D59" w:rsidP="002C2D59">
            <w:pPr>
              <w:rPr>
                <w:rFonts w:ascii="Arial Narrow" w:hAnsi="Arial Narrow"/>
                <w:b/>
              </w:rPr>
            </w:pPr>
            <w:r>
              <w:rPr>
                <w:rFonts w:ascii="Arial Narrow" w:hAnsi="Arial Narrow"/>
                <w:b/>
              </w:rPr>
              <w:t>Length of Unit:</w:t>
            </w:r>
          </w:p>
        </w:tc>
        <w:tc>
          <w:tcPr>
            <w:tcW w:w="5130" w:type="dxa"/>
            <w:tcBorders>
              <w:bottom w:val="single" w:sz="4" w:space="0" w:color="auto"/>
            </w:tcBorders>
            <w:shd w:val="clear" w:color="auto" w:fill="auto"/>
            <w:vAlign w:val="center"/>
          </w:tcPr>
          <w:p w:rsidR="002C2D59" w:rsidRPr="002748F7" w:rsidRDefault="002C2D59" w:rsidP="002C2D59">
            <w:pPr>
              <w:rPr>
                <w:rFonts w:ascii="Arial Narrow" w:hAnsi="Arial Narrow"/>
                <w:sz w:val="22"/>
                <w:szCs w:val="22"/>
              </w:rPr>
            </w:pPr>
            <w:r>
              <w:rPr>
                <w:rFonts w:ascii="Arial Narrow" w:hAnsi="Arial Narrow"/>
                <w:sz w:val="22"/>
                <w:szCs w:val="22"/>
              </w:rPr>
              <w:t>4 Weeks/ 19 days (including testing day)</w:t>
            </w:r>
          </w:p>
        </w:tc>
      </w:tr>
      <w:tr w:rsidR="002C2D59" w:rsidRPr="00E31EAD">
        <w:trPr>
          <w:cantSplit/>
          <w:trHeight w:val="20"/>
          <w:jc w:val="center"/>
        </w:trPr>
        <w:tc>
          <w:tcPr>
            <w:tcW w:w="9360" w:type="dxa"/>
            <w:gridSpan w:val="2"/>
            <w:tcBorders>
              <w:bottom w:val="single" w:sz="4" w:space="0" w:color="auto"/>
            </w:tcBorders>
            <w:shd w:val="clear" w:color="auto" w:fill="C0C0C0"/>
            <w:vAlign w:val="center"/>
          </w:tcPr>
          <w:p w:rsidR="002C2D59" w:rsidRPr="00CB02DA" w:rsidRDefault="002C2D59" w:rsidP="002C2D59">
            <w:pPr>
              <w:jc w:val="center"/>
              <w:rPr>
                <w:rFonts w:ascii="Arial Narrow" w:hAnsi="Arial Narrow"/>
                <w:b/>
              </w:rPr>
            </w:pPr>
            <w:r>
              <w:rPr>
                <w:rFonts w:ascii="Arial Narrow" w:hAnsi="Arial Narrow"/>
                <w:b/>
              </w:rPr>
              <w:t xml:space="preserve"> UNIT </w:t>
            </w:r>
            <w:r w:rsidRPr="00CB02DA">
              <w:rPr>
                <w:rFonts w:ascii="Arial Narrow" w:hAnsi="Arial Narrow"/>
                <w:b/>
              </w:rPr>
              <w:t>LEARNING GOALS</w:t>
            </w:r>
          </w:p>
        </w:tc>
      </w:tr>
      <w:tr w:rsidR="002C2D59" w:rsidRPr="00E31EAD">
        <w:trPr>
          <w:cantSplit/>
          <w:trHeight w:val="20"/>
          <w:jc w:val="center"/>
        </w:trPr>
        <w:tc>
          <w:tcPr>
            <w:tcW w:w="4230" w:type="dxa"/>
            <w:tcBorders>
              <w:top w:val="single" w:sz="4" w:space="0" w:color="auto"/>
              <w:bottom w:val="single" w:sz="4" w:space="0" w:color="auto"/>
            </w:tcBorders>
            <w:shd w:val="clear" w:color="auto" w:fill="F3F3F3"/>
            <w:tcMar>
              <w:top w:w="29" w:type="dxa"/>
              <w:bottom w:w="29" w:type="dxa"/>
            </w:tcMar>
          </w:tcPr>
          <w:p w:rsidR="002C2D59" w:rsidRPr="004816F0" w:rsidRDefault="002C2D59" w:rsidP="002C2D59">
            <w:pPr>
              <w:rPr>
                <w:rFonts w:ascii="Calibri" w:hAnsi="Calibri"/>
                <w:b/>
              </w:rPr>
            </w:pPr>
            <w:r w:rsidRPr="004816F0">
              <w:rPr>
                <w:rFonts w:ascii="Calibri" w:hAnsi="Calibri"/>
                <w:b/>
              </w:rPr>
              <w:t>Core Learning Goal:</w:t>
            </w:r>
          </w:p>
        </w:tc>
        <w:tc>
          <w:tcPr>
            <w:tcW w:w="5130" w:type="dxa"/>
            <w:tcBorders>
              <w:top w:val="single" w:sz="4" w:space="0" w:color="auto"/>
              <w:bottom w:val="single" w:sz="4" w:space="0" w:color="auto"/>
            </w:tcBorders>
            <w:tcMar>
              <w:top w:w="29" w:type="dxa"/>
              <w:bottom w:w="29" w:type="dxa"/>
            </w:tcMar>
          </w:tcPr>
          <w:p w:rsidR="002C2D59" w:rsidRPr="004816F0" w:rsidRDefault="002C2D59" w:rsidP="002C2D59">
            <w:pPr>
              <w:rPr>
                <w:rFonts w:ascii="Calibri" w:hAnsi="Calibri"/>
                <w:b/>
              </w:rPr>
            </w:pPr>
            <w:r w:rsidRPr="004816F0">
              <w:rPr>
                <w:rFonts w:ascii="Calibri" w:hAnsi="Calibri"/>
                <w:b/>
              </w:rPr>
              <w:t>Key Vocabulary:</w:t>
            </w:r>
          </w:p>
        </w:tc>
      </w:tr>
      <w:tr w:rsidR="002C2D59" w:rsidRPr="00E31EAD">
        <w:trPr>
          <w:cantSplit/>
          <w:trHeight w:val="20"/>
          <w:jc w:val="center"/>
        </w:trPr>
        <w:tc>
          <w:tcPr>
            <w:tcW w:w="4230" w:type="dxa"/>
            <w:tcBorders>
              <w:top w:val="single" w:sz="4" w:space="0" w:color="auto"/>
              <w:bottom w:val="single" w:sz="4" w:space="0" w:color="auto"/>
            </w:tcBorders>
            <w:shd w:val="clear" w:color="auto" w:fill="F3F3F3"/>
            <w:tcMar>
              <w:top w:w="29" w:type="dxa"/>
              <w:bottom w:w="29" w:type="dxa"/>
            </w:tcMar>
          </w:tcPr>
          <w:p w:rsidR="002C2D59" w:rsidRPr="00696D3D" w:rsidRDefault="002C2D59" w:rsidP="002C2D59">
            <w:pPr>
              <w:rPr>
                <w:rFonts w:ascii="Calibri" w:hAnsi="Calibri"/>
              </w:rPr>
            </w:pPr>
            <w:r w:rsidRPr="00696D3D">
              <w:rPr>
                <w:rFonts w:ascii="Calibri" w:hAnsi="Calibri"/>
              </w:rPr>
              <w:t>1.2.1: Analyze the impact of landmark Supreme Court decisions on governmental powers, rights, and responsibilities of citizens in our changing society</w:t>
            </w:r>
          </w:p>
        </w:tc>
        <w:tc>
          <w:tcPr>
            <w:tcW w:w="5130" w:type="dxa"/>
            <w:tcBorders>
              <w:top w:val="single" w:sz="4" w:space="0" w:color="auto"/>
              <w:bottom w:val="single" w:sz="4" w:space="0" w:color="auto"/>
            </w:tcBorders>
            <w:tcMar>
              <w:top w:w="29" w:type="dxa"/>
              <w:bottom w:w="29" w:type="dxa"/>
            </w:tcMar>
          </w:tcPr>
          <w:p w:rsidR="002C2D59" w:rsidRPr="00696D3D" w:rsidRDefault="002C2D59" w:rsidP="002C2D59">
            <w:pPr>
              <w:rPr>
                <w:rFonts w:ascii="Calibri" w:hAnsi="Calibri"/>
                <w:i/>
              </w:rPr>
            </w:pPr>
            <w:r w:rsidRPr="00696D3D">
              <w:rPr>
                <w:rFonts w:ascii="Calibri" w:hAnsi="Calibri"/>
                <w:i/>
              </w:rPr>
              <w:t>Marbury v. Madison, judicial review, McCulloch v. Maryland, Brown v. Board of Ed</w:t>
            </w:r>
            <w:r>
              <w:rPr>
                <w:rFonts w:ascii="Calibri" w:hAnsi="Calibri"/>
                <w:i/>
              </w:rPr>
              <w:t>ucation</w:t>
            </w:r>
            <w:r w:rsidRPr="00696D3D">
              <w:rPr>
                <w:rFonts w:ascii="Calibri" w:hAnsi="Calibri"/>
                <w:i/>
              </w:rPr>
              <w:t>, Plessy v. Ferguson, Miranda v. Arizona, Gideon v. Wainwright, New Jersey v. TLO, Tinker v. Des Moines</w:t>
            </w:r>
          </w:p>
        </w:tc>
      </w:tr>
      <w:tr w:rsidR="002C2D59" w:rsidRPr="00E31EAD">
        <w:trPr>
          <w:cantSplit/>
          <w:trHeight w:val="20"/>
          <w:jc w:val="center"/>
        </w:trPr>
        <w:tc>
          <w:tcPr>
            <w:tcW w:w="4230" w:type="dxa"/>
            <w:tcBorders>
              <w:top w:val="single" w:sz="4" w:space="0" w:color="auto"/>
              <w:bottom w:val="single" w:sz="4" w:space="0" w:color="auto"/>
            </w:tcBorders>
            <w:shd w:val="clear" w:color="auto" w:fill="F3F3F3"/>
            <w:tcMar>
              <w:top w:w="29" w:type="dxa"/>
              <w:bottom w:w="29" w:type="dxa"/>
            </w:tcMar>
          </w:tcPr>
          <w:p w:rsidR="002C2D59" w:rsidRPr="00696D3D" w:rsidRDefault="002C2D59" w:rsidP="002C2D59">
            <w:pPr>
              <w:rPr>
                <w:rFonts w:ascii="Calibri" w:hAnsi="Calibri"/>
              </w:rPr>
            </w:pPr>
            <w:r w:rsidRPr="00696D3D">
              <w:rPr>
                <w:rFonts w:ascii="Calibri" w:hAnsi="Calibri"/>
              </w:rPr>
              <w:t>1.2.2. Analyze legislation designed to protect the rights of individuals and groups and to promote equity in American Society</w:t>
            </w:r>
          </w:p>
        </w:tc>
        <w:tc>
          <w:tcPr>
            <w:tcW w:w="5130" w:type="dxa"/>
            <w:tcBorders>
              <w:top w:val="single" w:sz="4" w:space="0" w:color="auto"/>
              <w:bottom w:val="single" w:sz="4" w:space="0" w:color="auto"/>
            </w:tcBorders>
            <w:tcMar>
              <w:top w:w="29" w:type="dxa"/>
              <w:bottom w:w="29" w:type="dxa"/>
            </w:tcMar>
          </w:tcPr>
          <w:p w:rsidR="002C2D59" w:rsidRPr="00696D3D" w:rsidRDefault="002C2D59" w:rsidP="002C2D59">
            <w:pPr>
              <w:rPr>
                <w:rFonts w:ascii="Calibri" w:hAnsi="Calibri"/>
                <w:i/>
              </w:rPr>
            </w:pPr>
            <w:r w:rsidRPr="00696D3D">
              <w:rPr>
                <w:rFonts w:ascii="Calibri" w:hAnsi="Calibri"/>
                <w:i/>
              </w:rPr>
              <w:t>Equity, Civil Rights, Civil</w:t>
            </w:r>
            <w:r>
              <w:rPr>
                <w:rFonts w:ascii="Calibri" w:hAnsi="Calibri"/>
                <w:i/>
              </w:rPr>
              <w:t xml:space="preserve"> Rights Act, Voting Rights Act,</w:t>
            </w:r>
            <w:r w:rsidRPr="00696D3D">
              <w:rPr>
                <w:rFonts w:ascii="Calibri" w:hAnsi="Calibri"/>
                <w:i/>
              </w:rPr>
              <w:t xml:space="preserve"> </w:t>
            </w:r>
            <w:r>
              <w:rPr>
                <w:rFonts w:ascii="Calibri" w:hAnsi="Calibri"/>
                <w:i/>
              </w:rPr>
              <w:t xml:space="preserve">Higher Education Act Title IX, </w:t>
            </w:r>
            <w:r w:rsidRPr="00696D3D">
              <w:rPr>
                <w:rFonts w:ascii="Calibri" w:hAnsi="Calibri"/>
                <w:i/>
              </w:rPr>
              <w:t>Indian Education Act, A</w:t>
            </w:r>
            <w:r>
              <w:rPr>
                <w:rFonts w:ascii="Calibri" w:hAnsi="Calibri"/>
                <w:i/>
              </w:rPr>
              <w:t>mericans with Disabilities Act,</w:t>
            </w:r>
            <w:r w:rsidRPr="00696D3D">
              <w:rPr>
                <w:rFonts w:ascii="Calibri" w:hAnsi="Calibri"/>
                <w:i/>
              </w:rPr>
              <w:t xml:space="preserve"> Immigration Reform, Affirmative Action</w:t>
            </w:r>
            <w:r>
              <w:rPr>
                <w:rFonts w:ascii="Calibri" w:hAnsi="Calibri"/>
                <w:i/>
              </w:rPr>
              <w:t>, Indian Education Act, Individuals with Disabilities Education Act (IDEA)</w:t>
            </w:r>
          </w:p>
        </w:tc>
      </w:tr>
      <w:tr w:rsidR="002C2D59" w:rsidRPr="00E31EAD">
        <w:trPr>
          <w:cantSplit/>
          <w:trHeight w:val="20"/>
          <w:jc w:val="center"/>
        </w:trPr>
        <w:tc>
          <w:tcPr>
            <w:tcW w:w="9360" w:type="dxa"/>
            <w:gridSpan w:val="2"/>
            <w:tcBorders>
              <w:top w:val="single" w:sz="4" w:space="0" w:color="auto"/>
            </w:tcBorders>
            <w:shd w:val="clear" w:color="auto" w:fill="F3F3F3"/>
            <w:tcMar>
              <w:top w:w="29" w:type="dxa"/>
              <w:bottom w:w="29" w:type="dxa"/>
            </w:tcMar>
            <w:vAlign w:val="center"/>
          </w:tcPr>
          <w:p w:rsidR="002C2D59" w:rsidRPr="00AA401A" w:rsidRDefault="002C2D59" w:rsidP="002C2D59">
            <w:pPr>
              <w:pStyle w:val="Heading1"/>
              <w:jc w:val="center"/>
              <w:rPr>
                <w:rFonts w:ascii="Calibri" w:hAnsi="Calibri"/>
                <w:bCs/>
                <w:i w:val="0"/>
                <w:sz w:val="24"/>
              </w:rPr>
            </w:pPr>
            <w:r w:rsidRPr="00AA401A">
              <w:rPr>
                <w:rFonts w:ascii="Calibri" w:hAnsi="Calibri"/>
                <w:bCs/>
                <w:i w:val="0"/>
                <w:sz w:val="24"/>
              </w:rPr>
              <w:t>Remedial (R)</w:t>
            </w:r>
          </w:p>
          <w:p w:rsidR="002C2D59" w:rsidRPr="00AA401A" w:rsidRDefault="002C2D59" w:rsidP="002C2D59">
            <w:pPr>
              <w:jc w:val="center"/>
              <w:rPr>
                <w:rFonts w:ascii="Calibri" w:hAnsi="Calibri"/>
              </w:rPr>
            </w:pPr>
            <w:r w:rsidRPr="00AA401A">
              <w:rPr>
                <w:rFonts w:ascii="Calibri" w:hAnsi="Calibri"/>
              </w:rPr>
              <w:sym w:font="Wingdings" w:char="F0E0"/>
            </w:r>
            <w:r w:rsidRPr="00AA401A">
              <w:rPr>
                <w:rFonts w:ascii="Calibri" w:hAnsi="Calibri"/>
              </w:rPr>
              <w:t xml:space="preserve"> Creating graphs/charts</w:t>
            </w:r>
          </w:p>
          <w:p w:rsidR="002C2D59" w:rsidRPr="00AA401A" w:rsidRDefault="002C2D59" w:rsidP="002C2D59">
            <w:pPr>
              <w:jc w:val="center"/>
              <w:rPr>
                <w:rFonts w:ascii="Calibri" w:hAnsi="Calibri"/>
              </w:rPr>
            </w:pPr>
            <w:r w:rsidRPr="00AA401A">
              <w:rPr>
                <w:rFonts w:ascii="Calibri" w:hAnsi="Calibri"/>
              </w:rPr>
              <w:sym w:font="Wingdings" w:char="F0E0"/>
            </w:r>
            <w:r w:rsidRPr="00AA401A">
              <w:rPr>
                <w:rFonts w:ascii="Calibri" w:hAnsi="Calibri"/>
              </w:rPr>
              <w:t xml:space="preserve"> Analyzing graphs/charts</w:t>
            </w:r>
          </w:p>
          <w:p w:rsidR="002C2D59" w:rsidRPr="00AA401A" w:rsidRDefault="002C2D59" w:rsidP="002C2D59">
            <w:pPr>
              <w:jc w:val="center"/>
              <w:rPr>
                <w:rFonts w:ascii="Calibri" w:hAnsi="Calibri"/>
              </w:rPr>
            </w:pPr>
            <w:r w:rsidRPr="00AA401A">
              <w:rPr>
                <w:rFonts w:ascii="Calibri" w:hAnsi="Calibri"/>
              </w:rPr>
              <w:sym w:font="Wingdings" w:char="F0E0"/>
            </w:r>
            <w:r w:rsidRPr="00AA401A">
              <w:rPr>
                <w:rFonts w:ascii="Calibri" w:hAnsi="Calibri"/>
              </w:rPr>
              <w:t xml:space="preserve"> Creating political cartoons</w:t>
            </w:r>
          </w:p>
          <w:p w:rsidR="002C2D59" w:rsidRPr="00AA401A" w:rsidRDefault="002C2D59" w:rsidP="002C2D59">
            <w:pPr>
              <w:jc w:val="center"/>
              <w:rPr>
                <w:rFonts w:ascii="Calibri" w:hAnsi="Calibri"/>
              </w:rPr>
            </w:pPr>
            <w:r w:rsidRPr="00AA401A">
              <w:rPr>
                <w:rFonts w:ascii="Calibri" w:hAnsi="Calibri"/>
              </w:rPr>
              <w:sym w:font="Wingdings" w:char="F0E0"/>
            </w:r>
            <w:r w:rsidRPr="00AA401A">
              <w:rPr>
                <w:rFonts w:ascii="Calibri" w:hAnsi="Calibri"/>
              </w:rPr>
              <w:t xml:space="preserve"> Analyzing political cartoons</w:t>
            </w:r>
          </w:p>
          <w:p w:rsidR="002C2D59" w:rsidRPr="00AA401A" w:rsidRDefault="002C2D59" w:rsidP="002C2D59">
            <w:pPr>
              <w:jc w:val="center"/>
              <w:rPr>
                <w:rFonts w:ascii="Calibri" w:hAnsi="Calibri"/>
              </w:rPr>
            </w:pPr>
            <w:r w:rsidRPr="00AA401A">
              <w:rPr>
                <w:rFonts w:ascii="Calibri" w:hAnsi="Calibri"/>
              </w:rPr>
              <w:sym w:font="Wingdings" w:char="F0E0"/>
            </w:r>
            <w:r w:rsidRPr="00AA401A">
              <w:rPr>
                <w:rFonts w:ascii="Calibri" w:hAnsi="Calibri"/>
              </w:rPr>
              <w:t xml:space="preserve"> Identifying primary/secondary texts</w:t>
            </w:r>
          </w:p>
          <w:p w:rsidR="002C2D59" w:rsidRPr="00AA401A" w:rsidRDefault="002C2D59" w:rsidP="002C2D59">
            <w:pPr>
              <w:jc w:val="center"/>
              <w:rPr>
                <w:rFonts w:ascii="Calibri" w:hAnsi="Calibri"/>
              </w:rPr>
            </w:pPr>
            <w:r w:rsidRPr="00AA401A">
              <w:rPr>
                <w:rFonts w:ascii="Calibri" w:hAnsi="Calibri"/>
              </w:rPr>
              <w:sym w:font="Wingdings" w:char="F0E0"/>
            </w:r>
            <w:r w:rsidRPr="00AA401A">
              <w:rPr>
                <w:rFonts w:ascii="Calibri" w:hAnsi="Calibri"/>
              </w:rPr>
              <w:t xml:space="preserve"> Coding texts</w:t>
            </w:r>
          </w:p>
          <w:p w:rsidR="002C2D59" w:rsidRPr="00AA401A" w:rsidRDefault="002C2D59" w:rsidP="002C2D59">
            <w:pPr>
              <w:pStyle w:val="Heading1"/>
              <w:jc w:val="center"/>
              <w:rPr>
                <w:rFonts w:ascii="Calibri" w:hAnsi="Calibri"/>
                <w:bCs/>
                <w:i w:val="0"/>
                <w:sz w:val="24"/>
              </w:rPr>
            </w:pPr>
            <w:r w:rsidRPr="00AA401A">
              <w:rPr>
                <w:rFonts w:ascii="Calibri" w:hAnsi="Calibri"/>
                <w:bCs/>
                <w:i w:val="0"/>
                <w:sz w:val="24"/>
              </w:rPr>
              <w:t>Enrichment (E)</w:t>
            </w:r>
          </w:p>
          <w:p w:rsidR="002C2D59" w:rsidRPr="00AA401A" w:rsidRDefault="002C2D59" w:rsidP="002C2D59">
            <w:pPr>
              <w:jc w:val="center"/>
              <w:rPr>
                <w:rFonts w:ascii="Calibri" w:hAnsi="Calibri"/>
              </w:rPr>
            </w:pPr>
            <w:r w:rsidRPr="00AA401A">
              <w:rPr>
                <w:rFonts w:ascii="Calibri" w:hAnsi="Calibri"/>
              </w:rPr>
              <w:sym w:font="Wingdings" w:char="F0E0"/>
            </w:r>
            <w:r w:rsidRPr="00AA401A">
              <w:rPr>
                <w:rFonts w:ascii="Calibri" w:hAnsi="Calibri"/>
              </w:rPr>
              <w:t xml:space="preserve"> Identifying biases</w:t>
            </w:r>
            <w:r>
              <w:rPr>
                <w:rFonts w:ascii="Calibri" w:hAnsi="Calibri"/>
              </w:rPr>
              <w:t>/propaganda</w:t>
            </w:r>
          </w:p>
          <w:p w:rsidR="002C2D59" w:rsidRPr="00AA401A" w:rsidRDefault="002C2D59" w:rsidP="002C2D59">
            <w:pPr>
              <w:jc w:val="center"/>
              <w:rPr>
                <w:rFonts w:ascii="Calibri" w:hAnsi="Calibri"/>
              </w:rPr>
            </w:pPr>
            <w:r w:rsidRPr="00AA401A">
              <w:rPr>
                <w:rFonts w:ascii="Calibri" w:hAnsi="Calibri"/>
              </w:rPr>
              <w:sym w:font="Wingdings" w:char="F0E0"/>
            </w:r>
            <w:r w:rsidRPr="00AA401A">
              <w:rPr>
                <w:rFonts w:ascii="Calibri" w:hAnsi="Calibri"/>
              </w:rPr>
              <w:t xml:space="preserve"> </w:t>
            </w:r>
            <w:r>
              <w:rPr>
                <w:rFonts w:ascii="Calibri" w:hAnsi="Calibri"/>
              </w:rPr>
              <w:t>Creating stories that reflect content</w:t>
            </w:r>
          </w:p>
          <w:p w:rsidR="002C2D59" w:rsidRPr="002748F7" w:rsidRDefault="002C2D59" w:rsidP="002C2D59">
            <w:pPr>
              <w:jc w:val="center"/>
              <w:rPr>
                <w:rFonts w:ascii="Arial Narrow" w:hAnsi="Arial Narrow"/>
                <w:sz w:val="22"/>
                <w:szCs w:val="22"/>
              </w:rPr>
            </w:pPr>
          </w:p>
        </w:tc>
      </w:tr>
    </w:tbl>
    <w:p w:rsidR="002C2D59" w:rsidRDefault="002C2D59"/>
    <w:p w:rsidR="002C2D59" w:rsidRDefault="002C2D59"/>
    <w:tbl>
      <w:tblPr>
        <w:tblStyle w:val="TableGrid"/>
        <w:tblW w:w="0" w:type="auto"/>
        <w:tblLook w:val="00BF"/>
      </w:tblPr>
      <w:tblGrid>
        <w:gridCol w:w="8856"/>
      </w:tblGrid>
      <w:tr w:rsidR="002C2D59">
        <w:tc>
          <w:tcPr>
            <w:tcW w:w="8856" w:type="dxa"/>
          </w:tcPr>
          <w:p w:rsidR="002C2D59" w:rsidRDefault="002C2D59" w:rsidP="002C2D59">
            <w:pPr>
              <w:jc w:val="center"/>
              <w:rPr>
                <w:rFonts w:ascii="Calibri" w:hAnsi="Calibri"/>
                <w:b/>
              </w:rPr>
            </w:pPr>
            <w:r>
              <w:rPr>
                <w:rFonts w:ascii="Calibri" w:hAnsi="Calibri"/>
                <w:b/>
              </w:rPr>
              <w:t>Essential Questions</w:t>
            </w:r>
          </w:p>
          <w:p w:rsidR="002C2D59" w:rsidRPr="002C2D59" w:rsidRDefault="002C2D59" w:rsidP="002C2D59">
            <w:pPr>
              <w:pStyle w:val="ListParagraph"/>
              <w:numPr>
                <w:ilvl w:val="0"/>
                <w:numId w:val="3"/>
              </w:numPr>
              <w:spacing w:line="360" w:lineRule="auto"/>
              <w:rPr>
                <w:rFonts w:ascii="Calibri" w:hAnsi="Calibri"/>
              </w:rPr>
            </w:pPr>
            <w:r w:rsidRPr="002C2D59">
              <w:rPr>
                <w:rFonts w:ascii="Calibri" w:hAnsi="Calibri"/>
              </w:rPr>
              <w:t>What mechanisms can the government use to ensure “liberty and justice for all”?</w:t>
            </w:r>
          </w:p>
          <w:p w:rsidR="002C2D59" w:rsidRDefault="002C2D59" w:rsidP="002C2D59">
            <w:pPr>
              <w:pStyle w:val="ListParagraph"/>
              <w:numPr>
                <w:ilvl w:val="0"/>
                <w:numId w:val="3"/>
              </w:numPr>
              <w:spacing w:line="360" w:lineRule="auto"/>
              <w:rPr>
                <w:rFonts w:ascii="Calibri" w:hAnsi="Calibri"/>
              </w:rPr>
            </w:pPr>
            <w:r>
              <w:rPr>
                <w:rFonts w:ascii="Calibri" w:hAnsi="Calibri"/>
              </w:rPr>
              <w:t>How does the American Government ensure fair and equal treatment under the law?</w:t>
            </w:r>
          </w:p>
          <w:p w:rsidR="00BE2892" w:rsidRDefault="002C2D59" w:rsidP="002C2D59">
            <w:pPr>
              <w:pStyle w:val="ListParagraph"/>
              <w:numPr>
                <w:ilvl w:val="0"/>
                <w:numId w:val="3"/>
              </w:numPr>
              <w:spacing w:line="360" w:lineRule="auto"/>
              <w:rPr>
                <w:rFonts w:ascii="Calibri" w:hAnsi="Calibri"/>
              </w:rPr>
            </w:pPr>
            <w:r>
              <w:rPr>
                <w:rFonts w:ascii="Calibri" w:hAnsi="Calibri"/>
              </w:rPr>
              <w:t>How effective is the government at solving inequality?</w:t>
            </w:r>
          </w:p>
          <w:p w:rsidR="002C2D59" w:rsidRPr="002C2D59" w:rsidRDefault="00C2463A" w:rsidP="002C2D59">
            <w:pPr>
              <w:pStyle w:val="ListParagraph"/>
              <w:numPr>
                <w:ilvl w:val="0"/>
                <w:numId w:val="3"/>
              </w:numPr>
              <w:spacing w:line="360" w:lineRule="auto"/>
              <w:rPr>
                <w:rFonts w:ascii="Calibri" w:hAnsi="Calibri"/>
              </w:rPr>
            </w:pPr>
            <w:r>
              <w:rPr>
                <w:rFonts w:ascii="Calibri" w:hAnsi="Calibri"/>
              </w:rPr>
              <w:t>Is there a difference between the ideal and the real?</w:t>
            </w:r>
          </w:p>
        </w:tc>
      </w:tr>
    </w:tbl>
    <w:p w:rsidR="002C2D59" w:rsidRDefault="002C2D59"/>
    <w:p w:rsidR="002C2D59" w:rsidRDefault="002C2D59">
      <w:pPr>
        <w:rPr>
          <w:rFonts w:ascii="Calibri" w:hAnsi="Calibri"/>
          <w:b/>
        </w:rPr>
      </w:pPr>
      <w:r>
        <w:rPr>
          <w:rFonts w:ascii="Calibri" w:hAnsi="Calibri"/>
          <w:b/>
        </w:rPr>
        <w:t>Daily Objectives:</w:t>
      </w:r>
    </w:p>
    <w:p w:rsidR="002C2D59" w:rsidRDefault="002C2D59">
      <w:pPr>
        <w:rPr>
          <w:rFonts w:ascii="Calibri" w:hAnsi="Calibri"/>
          <w:b/>
        </w:rPr>
      </w:pPr>
    </w:p>
    <w:p w:rsidR="00822E8C" w:rsidRDefault="002C2D59">
      <w:pPr>
        <w:rPr>
          <w:rFonts w:ascii="Calibri" w:hAnsi="Calibri"/>
          <w:highlight w:val="cyan"/>
        </w:rPr>
      </w:pPr>
      <w:r w:rsidRPr="001A6190">
        <w:rPr>
          <w:rFonts w:ascii="Calibri" w:hAnsi="Calibri"/>
          <w:highlight w:val="cyan"/>
        </w:rPr>
        <w:t>SWBAT compare and contrast the rights guaranteed to the public in the</w:t>
      </w:r>
      <w:r w:rsidR="00822E8C">
        <w:rPr>
          <w:rFonts w:ascii="Calibri" w:hAnsi="Calibri"/>
          <w:highlight w:val="cyan"/>
        </w:rPr>
        <w:t xml:space="preserve"> first amendment. (1.1.1)</w:t>
      </w:r>
    </w:p>
    <w:p w:rsidR="002C2D59" w:rsidRPr="00D513D1" w:rsidRDefault="00822E8C">
      <w:pPr>
        <w:rPr>
          <w:rFonts w:ascii="Calibri" w:hAnsi="Calibri"/>
        </w:rPr>
      </w:pPr>
      <w:r>
        <w:rPr>
          <w:rFonts w:ascii="Calibri" w:hAnsi="Calibri"/>
          <w:highlight w:val="cyan"/>
        </w:rPr>
        <w:t>SWBAT</w:t>
      </w:r>
      <w:r w:rsidR="002C2D59" w:rsidRPr="001A6190">
        <w:rPr>
          <w:rFonts w:ascii="Calibri" w:hAnsi="Calibri"/>
          <w:highlight w:val="cyan"/>
        </w:rPr>
        <w:t xml:space="preserve"> </w:t>
      </w:r>
      <w:r>
        <w:rPr>
          <w:rFonts w:ascii="Calibri" w:hAnsi="Calibri"/>
          <w:highlight w:val="cyan"/>
        </w:rPr>
        <w:t xml:space="preserve">compare and contrast the rights guaranteed to the public in the </w:t>
      </w:r>
      <w:r w:rsidR="002C2D59" w:rsidRPr="001A6190">
        <w:rPr>
          <w:rFonts w:ascii="Calibri" w:hAnsi="Calibri"/>
          <w:highlight w:val="cyan"/>
        </w:rPr>
        <w:t>Bill of Rights.</w:t>
      </w:r>
      <w:r w:rsidR="001A6190" w:rsidRPr="001A6190">
        <w:rPr>
          <w:rFonts w:ascii="Calibri" w:hAnsi="Calibri"/>
          <w:highlight w:val="cyan"/>
        </w:rPr>
        <w:t xml:space="preserve"> (1.1.1)</w:t>
      </w:r>
    </w:p>
    <w:p w:rsidR="002C2D59" w:rsidRDefault="002C2D59">
      <w:pPr>
        <w:rPr>
          <w:rFonts w:ascii="Calibri" w:hAnsi="Calibri"/>
        </w:rPr>
      </w:pPr>
      <w:r w:rsidRPr="001A6190">
        <w:rPr>
          <w:rFonts w:ascii="Calibri" w:hAnsi="Calibri"/>
          <w:highlight w:val="cyan"/>
        </w:rPr>
        <w:t>SWBAT analyze the effects of the 13</w:t>
      </w:r>
      <w:r w:rsidRPr="001A6190">
        <w:rPr>
          <w:rFonts w:ascii="Calibri" w:hAnsi="Calibri"/>
          <w:highlight w:val="cyan"/>
          <w:vertAlign w:val="superscript"/>
        </w:rPr>
        <w:t>th</w:t>
      </w:r>
      <w:r w:rsidRPr="001A6190">
        <w:rPr>
          <w:rFonts w:ascii="Calibri" w:hAnsi="Calibri"/>
          <w:highlight w:val="cyan"/>
        </w:rPr>
        <w:t>, 14</w:t>
      </w:r>
      <w:r w:rsidRPr="001A6190">
        <w:rPr>
          <w:rFonts w:ascii="Calibri" w:hAnsi="Calibri"/>
          <w:highlight w:val="cyan"/>
          <w:vertAlign w:val="superscript"/>
        </w:rPr>
        <w:t>th</w:t>
      </w:r>
      <w:r w:rsidRPr="001A6190">
        <w:rPr>
          <w:rFonts w:ascii="Calibri" w:hAnsi="Calibri"/>
          <w:highlight w:val="cyan"/>
        </w:rPr>
        <w:t>, and 15</w:t>
      </w:r>
      <w:r w:rsidRPr="001A6190">
        <w:rPr>
          <w:rFonts w:ascii="Calibri" w:hAnsi="Calibri"/>
          <w:highlight w:val="cyan"/>
          <w:vertAlign w:val="superscript"/>
        </w:rPr>
        <w:t>th</w:t>
      </w:r>
      <w:r w:rsidRPr="001A6190">
        <w:rPr>
          <w:rFonts w:ascii="Calibri" w:hAnsi="Calibri"/>
          <w:highlight w:val="cyan"/>
        </w:rPr>
        <w:t xml:space="preserve"> amendments. (1.1.1)</w:t>
      </w:r>
    </w:p>
    <w:p w:rsidR="002C2D59" w:rsidRPr="001A6190" w:rsidRDefault="002C2D59">
      <w:pPr>
        <w:rPr>
          <w:rFonts w:ascii="Calibri" w:hAnsi="Calibri"/>
          <w:i/>
          <w:highlight w:val="green"/>
        </w:rPr>
      </w:pPr>
      <w:r w:rsidRPr="001A6190">
        <w:rPr>
          <w:rFonts w:ascii="Calibri" w:hAnsi="Calibri"/>
          <w:highlight w:val="green"/>
        </w:rPr>
        <w:t xml:space="preserve">SWBAT analyze how </w:t>
      </w:r>
      <w:r w:rsidRPr="001A6190">
        <w:rPr>
          <w:rFonts w:ascii="Calibri" w:hAnsi="Calibri"/>
          <w:i/>
          <w:highlight w:val="green"/>
        </w:rPr>
        <w:t xml:space="preserve">Brown v. Board of Education </w:t>
      </w:r>
      <w:r w:rsidRPr="001A6190">
        <w:rPr>
          <w:rFonts w:ascii="Calibri" w:hAnsi="Calibri"/>
          <w:highlight w:val="green"/>
        </w:rPr>
        <w:t xml:space="preserve">overturned </w:t>
      </w:r>
      <w:r w:rsidRPr="001A6190">
        <w:rPr>
          <w:rFonts w:ascii="Calibri" w:hAnsi="Calibri"/>
          <w:i/>
          <w:highlight w:val="green"/>
        </w:rPr>
        <w:t>Plessy v. Ferguson. (1.2.1)</w:t>
      </w:r>
    </w:p>
    <w:p w:rsidR="005C20D3" w:rsidRDefault="001A6190">
      <w:pPr>
        <w:rPr>
          <w:rFonts w:ascii="Calibri" w:hAnsi="Calibri"/>
        </w:rPr>
      </w:pPr>
      <w:r w:rsidRPr="001A6190">
        <w:rPr>
          <w:rFonts w:ascii="Calibri" w:hAnsi="Calibri"/>
          <w:highlight w:val="green"/>
        </w:rPr>
        <w:t xml:space="preserve">SWBAT evaluate how the </w:t>
      </w:r>
      <w:r w:rsidR="002C2D59" w:rsidRPr="001A6190">
        <w:rPr>
          <w:rFonts w:ascii="Calibri" w:hAnsi="Calibri"/>
          <w:highlight w:val="green"/>
        </w:rPr>
        <w:t>Voting Rights Act, and Affirmative Action have affected the rights of African Americans and Minorities. (1.2.2)</w:t>
      </w:r>
    </w:p>
    <w:p w:rsidR="002C2D59" w:rsidRPr="005C20D3" w:rsidRDefault="005C20D3">
      <w:pPr>
        <w:rPr>
          <w:rFonts w:ascii="Calibri" w:hAnsi="Calibri"/>
          <w:b/>
        </w:rPr>
      </w:pPr>
      <w:r>
        <w:rPr>
          <w:rFonts w:ascii="Calibri" w:hAnsi="Calibri"/>
          <w:b/>
        </w:rPr>
        <w:t>PROCESSING</w:t>
      </w:r>
    </w:p>
    <w:p w:rsidR="00D513D1" w:rsidRDefault="002C2D59">
      <w:pPr>
        <w:rPr>
          <w:rFonts w:ascii="Calibri" w:hAnsi="Calibri"/>
          <w:highlight w:val="cyan"/>
        </w:rPr>
      </w:pPr>
      <w:r w:rsidRPr="001A6190">
        <w:rPr>
          <w:rFonts w:ascii="Calibri" w:hAnsi="Calibri"/>
          <w:highlight w:val="green"/>
        </w:rPr>
        <w:t>S</w:t>
      </w:r>
      <w:r w:rsidRPr="001A6190">
        <w:rPr>
          <w:rFonts w:ascii="Calibri" w:hAnsi="Calibri"/>
          <w:highlight w:val="cyan"/>
        </w:rPr>
        <w:t>WBAT compare and contrast the rights granted to students in Tinker v. Des Moines and New Jersey v. TLO. (1.2.1)</w:t>
      </w:r>
    </w:p>
    <w:p w:rsidR="005C20D3" w:rsidRDefault="00D513D1">
      <w:pPr>
        <w:rPr>
          <w:rFonts w:ascii="Calibri" w:hAnsi="Calibri"/>
          <w:highlight w:val="green"/>
        </w:rPr>
      </w:pPr>
      <w:r w:rsidRPr="001A6190">
        <w:rPr>
          <w:rFonts w:ascii="Calibri" w:hAnsi="Calibri"/>
          <w:highlight w:val="green"/>
        </w:rPr>
        <w:t>SWBAT evaluate the flexibilit</w:t>
      </w:r>
      <w:r>
        <w:rPr>
          <w:rFonts w:ascii="Calibri" w:hAnsi="Calibri"/>
          <w:highlight w:val="green"/>
        </w:rPr>
        <w:t>y of the first amendment. (1.1.1</w:t>
      </w:r>
      <w:r w:rsidRPr="001A6190">
        <w:rPr>
          <w:rFonts w:ascii="Calibri" w:hAnsi="Calibri"/>
          <w:highlight w:val="green"/>
        </w:rPr>
        <w:t>)</w:t>
      </w:r>
      <w:r>
        <w:rPr>
          <w:rFonts w:ascii="Calibri" w:hAnsi="Calibri"/>
          <w:highlight w:val="green"/>
        </w:rPr>
        <w:t xml:space="preserve"> Texas v. Johnson and Hazelwood v. Kuhlmeier. </w:t>
      </w:r>
    </w:p>
    <w:p w:rsidR="002C2D59" w:rsidRPr="005C20D3" w:rsidRDefault="005C20D3">
      <w:pPr>
        <w:rPr>
          <w:rFonts w:ascii="Calibri" w:hAnsi="Calibri"/>
          <w:b/>
          <w:highlight w:val="cyan"/>
        </w:rPr>
      </w:pPr>
      <w:r>
        <w:rPr>
          <w:rFonts w:ascii="Calibri" w:hAnsi="Calibri"/>
          <w:b/>
          <w:highlight w:val="green"/>
        </w:rPr>
        <w:t>PROCESSING</w:t>
      </w:r>
    </w:p>
    <w:p w:rsidR="002C2D59" w:rsidRPr="001A6190" w:rsidRDefault="002C2D59">
      <w:pPr>
        <w:rPr>
          <w:rFonts w:ascii="Calibri" w:hAnsi="Calibri"/>
          <w:highlight w:val="cyan"/>
        </w:rPr>
      </w:pPr>
      <w:r w:rsidRPr="001A6190">
        <w:rPr>
          <w:rFonts w:ascii="Calibri" w:hAnsi="Calibri"/>
          <w:highlight w:val="cyan"/>
        </w:rPr>
        <w:t>SWBAT describe how Gideon v. Wainwright expanded the rights of the accused. (1.2.1)</w:t>
      </w:r>
    </w:p>
    <w:p w:rsidR="002C2D59" w:rsidRPr="001A6190" w:rsidRDefault="002C2D59">
      <w:pPr>
        <w:rPr>
          <w:rFonts w:ascii="Calibri" w:hAnsi="Calibri"/>
          <w:highlight w:val="cyan"/>
        </w:rPr>
      </w:pPr>
      <w:r w:rsidRPr="001A6190">
        <w:rPr>
          <w:rFonts w:ascii="Calibri" w:hAnsi="Calibri"/>
          <w:highlight w:val="cyan"/>
        </w:rPr>
        <w:t>SWBAT explain why Ernesto Miranda’s death was ironic. (1.2.1)</w:t>
      </w:r>
    </w:p>
    <w:p w:rsidR="005C20D3" w:rsidRDefault="002C2D59">
      <w:pPr>
        <w:rPr>
          <w:rFonts w:ascii="Calibri" w:hAnsi="Calibri"/>
        </w:rPr>
      </w:pPr>
      <w:r w:rsidRPr="001A6190">
        <w:rPr>
          <w:rFonts w:ascii="Calibri" w:hAnsi="Calibri"/>
          <w:highlight w:val="cyan"/>
        </w:rPr>
        <w:t xml:space="preserve">SWBAT evaluate the extent to which minors and adults are held to the same criminal standards by exploring </w:t>
      </w:r>
      <w:r w:rsidRPr="001A6190">
        <w:rPr>
          <w:rFonts w:ascii="Calibri" w:hAnsi="Calibri"/>
          <w:i/>
          <w:highlight w:val="cyan"/>
        </w:rPr>
        <w:t xml:space="preserve">in re Gault. </w:t>
      </w:r>
      <w:r w:rsidRPr="001A6190">
        <w:rPr>
          <w:rFonts w:ascii="Calibri" w:hAnsi="Calibri"/>
          <w:highlight w:val="cyan"/>
        </w:rPr>
        <w:t>(1.2.1 – enrichment)</w:t>
      </w:r>
    </w:p>
    <w:p w:rsidR="002C2D59" w:rsidRPr="002C2D59" w:rsidRDefault="005C20D3">
      <w:pPr>
        <w:rPr>
          <w:rFonts w:ascii="Calibri" w:hAnsi="Calibri"/>
        </w:rPr>
      </w:pPr>
      <w:r>
        <w:rPr>
          <w:rFonts w:ascii="Calibri" w:hAnsi="Calibri"/>
        </w:rPr>
        <w:t>PROCESSING</w:t>
      </w:r>
    </w:p>
    <w:p w:rsidR="002C2D59" w:rsidRPr="001A6190" w:rsidRDefault="002C2D59">
      <w:pPr>
        <w:rPr>
          <w:rFonts w:ascii="Calibri" w:hAnsi="Calibri"/>
          <w:highlight w:val="green"/>
        </w:rPr>
      </w:pPr>
      <w:r w:rsidRPr="001A6190">
        <w:rPr>
          <w:rFonts w:ascii="Calibri" w:hAnsi="Calibri"/>
          <w:highlight w:val="green"/>
        </w:rPr>
        <w:t>SWBAT describe the methods that the government uses to promote economic stability and equality, including WIC, Social Security Act, Food Stamps, Stimulus Bills, and other forms of Public Assistance. (1.2.2 - enrichment)</w:t>
      </w:r>
    </w:p>
    <w:p w:rsidR="002C2D59" w:rsidRPr="001A6190" w:rsidRDefault="002C2D59">
      <w:pPr>
        <w:rPr>
          <w:rFonts w:ascii="Calibri" w:hAnsi="Calibri"/>
          <w:highlight w:val="green"/>
        </w:rPr>
      </w:pPr>
      <w:r w:rsidRPr="001A6190">
        <w:rPr>
          <w:rFonts w:ascii="Calibri" w:hAnsi="Calibri"/>
          <w:highlight w:val="green"/>
        </w:rPr>
        <w:t>SWBAT describe how Title IX, and the repeal of “Don’t Ask, Don’t Tell” promote equality between different groups of people. (1.2.2 -- enrichment)</w:t>
      </w:r>
    </w:p>
    <w:p w:rsidR="000A34B6" w:rsidRPr="000A34B6" w:rsidRDefault="002C2D59">
      <w:pPr>
        <w:rPr>
          <w:rFonts w:ascii="Calibri" w:hAnsi="Calibri"/>
          <w:highlight w:val="green"/>
        </w:rPr>
      </w:pPr>
      <w:r w:rsidRPr="000A34B6">
        <w:rPr>
          <w:rFonts w:ascii="Calibri" w:hAnsi="Calibri"/>
          <w:highlight w:val="green"/>
        </w:rPr>
        <w:t>SWBAT evaluate the extent to which the Indian Education Act, Thornton Funding, and No Children Left Behind promoted academic equality. (1.2.2 – enrichment)</w:t>
      </w:r>
    </w:p>
    <w:p w:rsidR="005C20D3" w:rsidRDefault="000A34B6">
      <w:pPr>
        <w:rPr>
          <w:rFonts w:ascii="Calibri" w:hAnsi="Calibri"/>
        </w:rPr>
      </w:pPr>
      <w:r w:rsidRPr="000A34B6">
        <w:rPr>
          <w:rFonts w:ascii="Calibri" w:hAnsi="Calibri"/>
          <w:highlight w:val="green"/>
        </w:rPr>
        <w:t>SWBAT analyze how equality legislation applies to legal and illegal immigrants and their families.</w:t>
      </w:r>
    </w:p>
    <w:p w:rsidR="002C2D59" w:rsidRDefault="005C20D3">
      <w:pPr>
        <w:rPr>
          <w:rFonts w:ascii="Calibri" w:hAnsi="Calibri"/>
        </w:rPr>
      </w:pPr>
      <w:r>
        <w:rPr>
          <w:rFonts w:ascii="Calibri" w:hAnsi="Calibri"/>
        </w:rPr>
        <w:t>PROCESSING</w:t>
      </w:r>
    </w:p>
    <w:p w:rsidR="002C2D59" w:rsidRDefault="002C2D59">
      <w:pPr>
        <w:rPr>
          <w:rFonts w:ascii="Calibri" w:hAnsi="Calibri"/>
        </w:rPr>
      </w:pPr>
    </w:p>
    <w:p w:rsidR="00BE2892" w:rsidRDefault="00BE2892">
      <w:pPr>
        <w:rPr>
          <w:rFonts w:ascii="Calibri" w:hAnsi="Calibri"/>
        </w:rPr>
      </w:pPr>
      <w:r>
        <w:rPr>
          <w:rFonts w:ascii="Calibri" w:hAnsi="Calibri"/>
        </w:rPr>
        <w:t>Possible Documents:</w:t>
      </w:r>
    </w:p>
    <w:p w:rsidR="00BE2892" w:rsidRDefault="00BE2892">
      <w:pPr>
        <w:rPr>
          <w:rFonts w:ascii="Calibri" w:hAnsi="Calibri"/>
        </w:rPr>
      </w:pPr>
      <w:r>
        <w:rPr>
          <w:rFonts w:ascii="Calibri" w:hAnsi="Calibri"/>
        </w:rPr>
        <w:t>Brown/Plessy opinions/ Headline</w:t>
      </w:r>
    </w:p>
    <w:p w:rsidR="00BE2892" w:rsidRDefault="00BE2892">
      <w:pPr>
        <w:rPr>
          <w:rFonts w:ascii="Calibri" w:hAnsi="Calibri"/>
        </w:rPr>
      </w:pPr>
      <w:r>
        <w:rPr>
          <w:rFonts w:ascii="Calibri" w:hAnsi="Calibri"/>
        </w:rPr>
        <w:t>Photograph of Tinkers</w:t>
      </w:r>
    </w:p>
    <w:p w:rsidR="00BE2892" w:rsidRDefault="00BE2892">
      <w:pPr>
        <w:rPr>
          <w:rFonts w:ascii="Calibri" w:hAnsi="Calibri"/>
        </w:rPr>
      </w:pPr>
      <w:r>
        <w:rPr>
          <w:rFonts w:ascii="Calibri" w:hAnsi="Calibri"/>
        </w:rPr>
        <w:t>Cartoon of Affirmative Action</w:t>
      </w:r>
    </w:p>
    <w:p w:rsidR="00BE2892" w:rsidRDefault="00BE2892">
      <w:pPr>
        <w:rPr>
          <w:rFonts w:ascii="Calibri" w:hAnsi="Calibri"/>
        </w:rPr>
      </w:pPr>
      <w:r>
        <w:rPr>
          <w:rFonts w:ascii="Calibri" w:hAnsi="Calibri"/>
        </w:rPr>
        <w:t>Photograph of Kids Walking through metal detectors</w:t>
      </w:r>
    </w:p>
    <w:p w:rsidR="00BE2892" w:rsidRDefault="00BE2892">
      <w:pPr>
        <w:rPr>
          <w:rFonts w:ascii="Calibri" w:hAnsi="Calibri"/>
        </w:rPr>
      </w:pPr>
      <w:r>
        <w:rPr>
          <w:rFonts w:ascii="Calibri" w:hAnsi="Calibri"/>
        </w:rPr>
        <w:t>Article on First Amendment right</w:t>
      </w:r>
    </w:p>
    <w:p w:rsidR="00BE2892" w:rsidRDefault="00BE2892">
      <w:pPr>
        <w:rPr>
          <w:rFonts w:ascii="Calibri" w:hAnsi="Calibri"/>
        </w:rPr>
      </w:pPr>
      <w:r>
        <w:rPr>
          <w:rFonts w:ascii="Calibri" w:hAnsi="Calibri"/>
        </w:rPr>
        <w:t>Graph on achievement gap</w:t>
      </w:r>
    </w:p>
    <w:p w:rsidR="00BE2892" w:rsidRDefault="00BE2892">
      <w:pPr>
        <w:rPr>
          <w:rFonts w:ascii="Calibri" w:hAnsi="Calibri"/>
        </w:rPr>
      </w:pPr>
      <w:r>
        <w:rPr>
          <w:rFonts w:ascii="Calibri" w:hAnsi="Calibri"/>
        </w:rPr>
        <w:t>Article on Stimulus Bill</w:t>
      </w:r>
    </w:p>
    <w:p w:rsidR="00BE2892" w:rsidRDefault="00BE2892">
      <w:pPr>
        <w:rPr>
          <w:rFonts w:ascii="Calibri" w:hAnsi="Calibri"/>
        </w:rPr>
      </w:pPr>
      <w:r>
        <w:rPr>
          <w:rFonts w:ascii="Calibri" w:hAnsi="Calibri"/>
        </w:rPr>
        <w:t>Don’t Ask, Don’t Tell</w:t>
      </w:r>
    </w:p>
    <w:p w:rsidR="00BE2892" w:rsidRDefault="00BE2892">
      <w:pPr>
        <w:rPr>
          <w:rFonts w:ascii="Calibri" w:hAnsi="Calibri"/>
        </w:rPr>
      </w:pPr>
      <w:r>
        <w:rPr>
          <w:rFonts w:ascii="Calibri" w:hAnsi="Calibri"/>
        </w:rPr>
        <w:t>Statistics on Public Defender victories</w:t>
      </w:r>
    </w:p>
    <w:p w:rsidR="00BE2892" w:rsidRDefault="00BE2892">
      <w:pPr>
        <w:rPr>
          <w:rFonts w:ascii="Calibri" w:hAnsi="Calibri"/>
        </w:rPr>
      </w:pPr>
    </w:p>
    <w:p w:rsidR="00C2463A" w:rsidRDefault="00C2463A">
      <w:pPr>
        <w:rPr>
          <w:rFonts w:ascii="Calibri" w:hAnsi="Calibri"/>
        </w:rPr>
      </w:pPr>
    </w:p>
    <w:p w:rsidR="00C2463A" w:rsidRDefault="00C2463A">
      <w:pPr>
        <w:rPr>
          <w:rFonts w:ascii="Calibri" w:hAnsi="Calibri"/>
        </w:rPr>
      </w:pPr>
      <w:r>
        <w:rPr>
          <w:rFonts w:ascii="Calibri" w:hAnsi="Calibri"/>
        </w:rPr>
        <w:t>Problem – Solution – Outcome</w:t>
      </w:r>
    </w:p>
    <w:p w:rsidR="00C2463A" w:rsidRDefault="00C2463A">
      <w:pPr>
        <w:rPr>
          <w:rFonts w:ascii="Calibri" w:hAnsi="Calibri"/>
        </w:rPr>
      </w:pPr>
    </w:p>
    <w:p w:rsidR="00C2463A" w:rsidRDefault="00C2463A">
      <w:pPr>
        <w:rPr>
          <w:rFonts w:ascii="Calibri" w:hAnsi="Calibri"/>
        </w:rPr>
      </w:pPr>
      <w:r>
        <w:rPr>
          <w:rFonts w:ascii="Calibri" w:hAnsi="Calibri"/>
        </w:rPr>
        <w:t>Ordeal – Ideal – Real</w:t>
      </w:r>
    </w:p>
    <w:p w:rsidR="002C2D59" w:rsidRPr="002C2D59" w:rsidRDefault="002C2D59">
      <w:pPr>
        <w:rPr>
          <w:rFonts w:ascii="Calibri" w:hAnsi="Calibri"/>
        </w:rPr>
      </w:pPr>
    </w:p>
    <w:sectPr w:rsidR="002C2D59" w:rsidRPr="002C2D59" w:rsidSect="002C2D5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altName w:val="?Îv?"/>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Webdings">
    <w:panose1 w:val="05030102010509060703"/>
    <w:charset w:val="02"/>
    <w:family w:val="auto"/>
    <w:pitch w:val="variable"/>
    <w:sig w:usb0="00000000" w:usb1="00000000" w:usb2="00010000" w:usb3="00000000" w:csb0="80000000" w:csb1="00000000"/>
  </w:font>
  <w:font w:name="Kai">
    <w:panose1 w:val="02000500000000000000"/>
    <w:charset w:val="50"/>
    <w:family w:val="auto"/>
    <w:pitch w:val="variable"/>
    <w:sig w:usb0="00000001" w:usb1="00000000" w:usb2="0100040E" w:usb3="00000000" w:csb0="00040000" w:csb1="00000000"/>
  </w:font>
  <w:font w:name="Cambria">
    <w:panose1 w:val="02040503050406030204"/>
    <w:charset w:val="00"/>
    <w:family w:val="auto"/>
    <w:pitch w:val="variable"/>
    <w:sig w:usb0="00000003" w:usb1="00000000" w:usb2="00000000" w:usb3="00000000" w:csb0="00000001" w:csb1="00000000"/>
  </w:font>
  <w:font w:name="AGaramond">
    <w:altName w:val="Courier New"/>
    <w:panose1 w:val="00000000000000000000"/>
    <w:charset w:val="00"/>
    <w:family w:val="roman"/>
    <w:notTrueType/>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DINCond-Bold">
    <w:altName w:val="Cambria"/>
    <w:panose1 w:val="00000000000000000000"/>
    <w:charset w:val="00"/>
    <w:family w:val="auto"/>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altName w:val=" Helvetica"/>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B7ACF"/>
    <w:multiLevelType w:val="hybridMultilevel"/>
    <w:tmpl w:val="ADD69D84"/>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A50CE3"/>
    <w:multiLevelType w:val="hybridMultilevel"/>
    <w:tmpl w:val="DDAA5C82"/>
    <w:lvl w:ilvl="0" w:tplc="BC50CE04">
      <w:start w:val="1"/>
      <w:numFmt w:val="bullet"/>
      <w:lvlText w:val=""/>
      <w:lvlJc w:val="left"/>
      <w:pPr>
        <w:ind w:left="576" w:hanging="216"/>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CE440FD"/>
    <w:multiLevelType w:val="hybridMultilevel"/>
    <w:tmpl w:val="DDAA5C82"/>
    <w:lvl w:ilvl="0" w:tplc="BC50CE04">
      <w:start w:val="1"/>
      <w:numFmt w:val="bullet"/>
      <w:lvlText w:val=""/>
      <w:lvlJc w:val="left"/>
      <w:pPr>
        <w:ind w:left="576" w:hanging="216"/>
      </w:pPr>
      <w:rPr>
        <w:rFonts w:ascii="Webdings" w:eastAsia="Kai" w:hAnsi="Web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C2D59"/>
    <w:rsid w:val="000A34B6"/>
    <w:rsid w:val="000D2FF6"/>
    <w:rsid w:val="001A6190"/>
    <w:rsid w:val="002C2D59"/>
    <w:rsid w:val="003816B9"/>
    <w:rsid w:val="005C20D3"/>
    <w:rsid w:val="007D58D8"/>
    <w:rsid w:val="00822E8C"/>
    <w:rsid w:val="009036DA"/>
    <w:rsid w:val="00BE2892"/>
    <w:rsid w:val="00C2463A"/>
    <w:rsid w:val="00D513D1"/>
    <w:rsid w:val="00F9605D"/>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D59"/>
    <w:rPr>
      <w:rFonts w:ascii="Times New Roman" w:eastAsia="Times New Roman" w:hAnsi="Times New Roman" w:cs="Times New Roman"/>
    </w:rPr>
  </w:style>
  <w:style w:type="paragraph" w:styleId="Heading1">
    <w:name w:val="heading 1"/>
    <w:basedOn w:val="Normal"/>
    <w:next w:val="Normal"/>
    <w:link w:val="Heading1Char"/>
    <w:qFormat/>
    <w:rsid w:val="002C2D59"/>
    <w:pPr>
      <w:widowControl w:val="0"/>
      <w:outlineLvl w:val="0"/>
    </w:pPr>
    <w:rPr>
      <w:rFonts w:ascii="AGaramond" w:hAnsi="AGaramond"/>
      <w:b/>
      <w:i/>
      <w:sz w:val="22"/>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2C2D59"/>
    <w:rPr>
      <w:rFonts w:ascii="AGaramond" w:eastAsia="Times New Roman" w:hAnsi="AGaramond" w:cs="Times New Roman"/>
      <w:b/>
      <w:i/>
      <w:sz w:val="22"/>
      <w:szCs w:val="20"/>
    </w:rPr>
  </w:style>
  <w:style w:type="paragraph" w:customStyle="1" w:styleId="SATSectionHeader">
    <w:name w:val="SAT Section Header"/>
    <w:basedOn w:val="Normal"/>
    <w:rsid w:val="002C2D59"/>
    <w:pPr>
      <w:widowControl w:val="0"/>
      <w:spacing w:after="120"/>
    </w:pPr>
    <w:rPr>
      <w:rFonts w:ascii="AGaramond" w:hAnsi="AGaramond"/>
      <w:sz w:val="28"/>
      <w:szCs w:val="20"/>
    </w:rPr>
  </w:style>
  <w:style w:type="table" w:styleId="TableGrid">
    <w:name w:val="Table Grid"/>
    <w:basedOn w:val="TableNormal"/>
    <w:uiPriority w:val="59"/>
    <w:rsid w:val="002C2D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C2D5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518</Words>
  <Characters>4098</Characters>
  <Application>Microsoft Macintosh Word</Application>
  <DocSecurity>0</DocSecurity>
  <Lines>157</Lines>
  <Paragraphs>93</Paragraphs>
  <ScaleCrop>false</ScaleCrop>
  <LinksUpToDate>false</LinksUpToDate>
  <CharactersWithSpaces>4771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2</cp:revision>
  <dcterms:created xsi:type="dcterms:W3CDTF">2011-10-25T23:21:00Z</dcterms:created>
  <dcterms:modified xsi:type="dcterms:W3CDTF">2011-10-25T23:21:00Z</dcterms:modified>
</cp:coreProperties>
</file>